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KARTA KURSU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40" w:type="dxa"/>
        <w:jc w:val="left"/>
        <w:tblInd w:w="-8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1981"/>
        <w:gridCol w:w="7658"/>
      </w:tblGrid>
      <w:tr>
        <w:trPr>
          <w:trHeight w:val="395" w:hRule="atLeast"/>
        </w:trPr>
        <w:tc>
          <w:tcPr>
            <w:tcW w:w="19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Tytu"/>
              <w:widowControl w:val="false"/>
              <w:jc w:val="center"/>
              <w:rPr>
                <w:sz w:val="20"/>
                <w:szCs w:val="20"/>
              </w:rPr>
            </w:pPr>
            <w:bookmarkStart w:id="0" w:name="_Toc493850884"/>
            <w:r>
              <w:rPr>
                <w:sz w:val="20"/>
                <w:szCs w:val="20"/>
              </w:rPr>
              <w:t xml:space="preserve">Wstęp do </w:t>
            </w:r>
            <w:bookmarkEnd w:id="0"/>
            <w:r>
              <w:rPr>
                <w:sz w:val="20"/>
                <w:szCs w:val="20"/>
              </w:rPr>
              <w:t xml:space="preserve">literaturoznawstwa – </w:t>
            </w:r>
            <w:r>
              <w:rPr>
                <w:sz w:val="20"/>
                <w:szCs w:val="20"/>
              </w:rPr>
              <w:t>filologia hiszpańska</w:t>
            </w:r>
          </w:p>
        </w:tc>
      </w:tr>
      <w:tr>
        <w:trPr>
          <w:trHeight w:val="379" w:hRule="atLeast"/>
        </w:trPr>
        <w:tc>
          <w:tcPr>
            <w:tcW w:w="19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Introduction to Literary Studies</w:t>
            </w:r>
          </w:p>
        </w:tc>
      </w:tr>
    </w:tbl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40" w:type="dxa"/>
        <w:jc w:val="left"/>
        <w:tblInd w:w="-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3186"/>
        <w:gridCol w:w="3187"/>
        <w:gridCol w:w="3267"/>
      </w:tblGrid>
      <w:tr>
        <w:trPr>
          <w:cantSplit w:val="true"/>
        </w:trPr>
        <w:tc>
          <w:tcPr>
            <w:tcW w:w="318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Koordynator</w:t>
            </w:r>
          </w:p>
        </w:tc>
        <w:tc>
          <w:tcPr>
            <w:tcW w:w="318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Kierownik Katedry </w:t>
            </w: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pl-PL" w:eastAsia="pl-PL" w:bidi="ar-SA"/>
              </w:rPr>
              <w:t>Literatur Francuskiego Obszaru Językowego</w:t>
            </w:r>
          </w:p>
        </w:tc>
        <w:tc>
          <w:tcPr>
            <w:tcW w:w="326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Zespół dydaktyczny</w:t>
            </w:r>
          </w:p>
        </w:tc>
      </w:tr>
      <w:tr>
        <w:trPr>
          <w:trHeight w:val="367" w:hRule="atLeast"/>
          <w:cantSplit w:val="true"/>
        </w:trPr>
        <w:tc>
          <w:tcPr>
            <w:tcW w:w="3186" w:type="dxa"/>
            <w:vMerge w:val="continue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87" w:type="dxa"/>
            <w:vMerge w:val="continue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6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Katedry </w:t>
            </w: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pl-PL" w:eastAsia="pl-PL" w:bidi="ar-SA"/>
              </w:rPr>
              <w:t>Literatur Francuskiego Obszaru Językowego</w:t>
            </w:r>
          </w:p>
        </w:tc>
      </w:tr>
      <w:tr>
        <w:trPr>
          <w:trHeight w:val="57" w:hRule="atLeast"/>
          <w:cantSplit w:val="true"/>
        </w:trPr>
        <w:tc>
          <w:tcPr>
            <w:tcW w:w="3186" w:type="dxa"/>
            <w:tcBorders>
              <w:top w:val="single" w:sz="2" w:space="0" w:color="95B3D7"/>
              <w:bottom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87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67" w:type="dxa"/>
            <w:vMerge w:val="continue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318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Punktacja ECTS*</w:t>
            </w:r>
          </w:p>
        </w:tc>
        <w:tc>
          <w:tcPr>
            <w:tcW w:w="31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vMerge w:val="continue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Opis kursu (cele kształcenia)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134" w:type="dxa"/>
        <w:jc w:val="left"/>
        <w:tblInd w:w="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134"/>
      </w:tblGrid>
      <w:tr>
        <w:trPr>
          <w:trHeight w:val="606" w:hRule="atLeast"/>
        </w:trPr>
        <w:tc>
          <w:tcPr>
            <w:tcW w:w="913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Celem kursu jest zapoznanie uczestników z podstawowymi zagadnieniami badań nad literaturą ze szczególnym uwzględnieniem teorii (w tym poetyki) dzieła literackiego oraz przykładowych metod badań literackich. Problematyka teoretycznoliteracka ilustrowana jest przykładami z histor</w:t>
            </w:r>
            <w:r>
              <w:rPr>
                <w:sz w:val="20"/>
                <w:szCs w:val="20"/>
              </w:rPr>
              <w:t xml:space="preserve">ii </w:t>
            </w:r>
            <w:r>
              <w:rPr>
                <w:sz w:val="20"/>
                <w:szCs w:val="20"/>
              </w:rPr>
              <w:t>litera</w:t>
            </w:r>
            <w:r>
              <w:rPr>
                <w:sz w:val="20"/>
                <w:szCs w:val="20"/>
              </w:rPr>
              <w:t>tury z hiszpańskiego oraz iberoamerykańskiego (hiszpańskojęzy</w:t>
            </w:r>
            <w:r>
              <w:rPr>
                <w:sz w:val="20"/>
                <w:szCs w:val="20"/>
              </w:rPr>
              <w:t>czn</w:t>
            </w:r>
            <w:r>
              <w:rPr>
                <w:sz w:val="20"/>
                <w:szCs w:val="20"/>
              </w:rPr>
              <w:t xml:space="preserve">ego) obszaru kulturowego, </w:t>
            </w:r>
            <w:r>
              <w:rPr>
                <w:sz w:val="20"/>
                <w:szCs w:val="20"/>
              </w:rPr>
              <w:t>by odnieść zagadnienia poetyki dzieła do konkretnych przykładów przerabianych szczegółówo podczas kurów historycznoliterackich na tej filologii.</w:t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Warunki wstępne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40" w:type="dxa"/>
        <w:jc w:val="left"/>
        <w:tblInd w:w="-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940"/>
        <w:gridCol w:w="7699"/>
      </w:tblGrid>
      <w:tr>
        <w:trPr>
          <w:trHeight w:val="391" w:hRule="atLeast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</w:t>
            </w:r>
          </w:p>
        </w:tc>
      </w:tr>
      <w:tr>
        <w:trPr>
          <w:trHeight w:val="431" w:hRule="atLeast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</w:t>
            </w:r>
          </w:p>
        </w:tc>
      </w:tr>
      <w:tr>
        <w:trPr>
          <w:trHeight w:val="283" w:hRule="atLeast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Efekty uczenia się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134" w:type="dxa"/>
        <w:jc w:val="left"/>
        <w:tblInd w:w="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876"/>
        <w:gridCol w:w="4979"/>
        <w:gridCol w:w="2279"/>
      </w:tblGrid>
      <w:tr>
        <w:trPr>
          <w:trHeight w:val="930" w:hRule="atLeast"/>
          <w:cantSplit w:val="true"/>
        </w:trPr>
        <w:tc>
          <w:tcPr>
            <w:tcW w:w="187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Wiedza</w:t>
            </w:r>
          </w:p>
        </w:tc>
        <w:tc>
          <w:tcPr>
            <w:tcW w:w="497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27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Odniesienie do efektów kierunkowych</w:t>
            </w:r>
          </w:p>
        </w:tc>
      </w:tr>
      <w:tr>
        <w:trPr>
          <w:trHeight w:val="1838" w:hRule="atLeast"/>
          <w:cantSplit w:val="true"/>
        </w:trPr>
        <w:tc>
          <w:tcPr>
            <w:tcW w:w="1876" w:type="dxa"/>
            <w:vMerge w:val="continue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7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rFonts w:eastAsia="MyriadPro-Regular"/>
                <w:sz w:val="20"/>
                <w:szCs w:val="20"/>
              </w:rPr>
            </w:pPr>
            <w:r>
              <w:rPr>
                <w:sz w:val="20"/>
                <w:szCs w:val="20"/>
              </w:rPr>
              <w:t>W01_</w:t>
            </w:r>
            <w:r>
              <w:rPr>
                <w:rFonts w:eastAsia="MyriadPro-Regular"/>
                <w:sz w:val="20"/>
                <w:szCs w:val="20"/>
              </w:rPr>
              <w:t>zna podstawową terminologię i wybrane teorie z zakresu literaturoznawstwa</w:t>
            </w:r>
          </w:p>
          <w:p>
            <w:pPr>
              <w:pStyle w:val="Normal"/>
              <w:widowControl w:val="false"/>
              <w:rPr>
                <w:rFonts w:eastAsia="MyriadPro-Regular"/>
                <w:sz w:val="20"/>
                <w:szCs w:val="20"/>
              </w:rPr>
            </w:pPr>
            <w:r>
              <w:rPr>
                <w:rFonts w:eastAsia="MyriadPro-Regular"/>
                <w:sz w:val="20"/>
                <w:szCs w:val="20"/>
              </w:rPr>
              <w:t xml:space="preserve">W02_wykazuje </w:t>
            </w:r>
            <w:r>
              <w:rPr>
                <w:sz w:val="20"/>
                <w:szCs w:val="20"/>
              </w:rPr>
              <w:t xml:space="preserve">podstawową </w:t>
            </w:r>
            <w:r>
              <w:rPr>
                <w:rFonts w:eastAsia="MyriadPro-Regular"/>
                <w:sz w:val="20"/>
                <w:szCs w:val="20"/>
              </w:rPr>
              <w:t>wiedzę o powiązaniach dziedzin nauki i dyscyplin naukowych właściwych dla filologii z innymi dziedzinami i dyscyplinami obszaru nauk humanistycznych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MyriadPro-Regular"/>
                <w:sz w:val="20"/>
                <w:szCs w:val="20"/>
              </w:rPr>
              <w:t xml:space="preserve">W03_posiada </w:t>
            </w:r>
            <w:r>
              <w:rPr>
                <w:sz w:val="20"/>
                <w:szCs w:val="20"/>
              </w:rPr>
              <w:t xml:space="preserve">podstawową </w:t>
            </w:r>
            <w:r>
              <w:rPr>
                <w:rFonts w:eastAsia="MyriadPro-Regular"/>
                <w:sz w:val="20"/>
                <w:szCs w:val="20"/>
              </w:rPr>
              <w:t>wiedzę o głównych kierunkach rozwoju i najważniejszych nowych osiągnięciach w zakresie literatury</w:t>
            </w:r>
          </w:p>
        </w:tc>
        <w:tc>
          <w:tcPr>
            <w:tcW w:w="227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K1_W02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K1_W04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K1_W04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40" w:type="dxa"/>
        <w:jc w:val="left"/>
        <w:tblInd w:w="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981"/>
        <w:gridCol w:w="5249"/>
        <w:gridCol w:w="2410"/>
      </w:tblGrid>
      <w:tr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Odniesienie do efektów kierunkowych</w:t>
            </w:r>
          </w:p>
        </w:tc>
      </w:tr>
      <w:tr>
        <w:trPr>
          <w:trHeight w:val="1308" w:hRule="atLeast"/>
          <w:cantSplit w:val="true"/>
        </w:trPr>
        <w:tc>
          <w:tcPr>
            <w:tcW w:w="1981" w:type="dxa"/>
            <w:vMerge w:val="continue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U01_formułuje i analizuje problemy badawcze w zakresie literaturoznawstwa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MyriadPro-Regular"/>
                <w:sz w:val="20"/>
                <w:szCs w:val="20"/>
              </w:rPr>
              <w:t>U02_w typowych sytuacjach zawodowych posługuje się podstawowymi ujęciami teoretycznymi i pojęciami właściwymi dla literaturoznawstwa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K1_U02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K1_U03</w:t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134" w:type="dxa"/>
        <w:jc w:val="left"/>
        <w:tblInd w:w="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915"/>
        <w:gridCol w:w="4909"/>
        <w:gridCol w:w="2310"/>
      </w:tblGrid>
      <w:tr>
        <w:trPr>
          <w:trHeight w:val="800" w:hRule="atLeast"/>
          <w:cantSplit w:val="true"/>
        </w:trPr>
        <w:tc>
          <w:tcPr>
            <w:tcW w:w="191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Kompetencje społeczne</w:t>
            </w:r>
          </w:p>
        </w:tc>
        <w:tc>
          <w:tcPr>
            <w:tcW w:w="49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3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Odniesienie do efektów kierunkowych</w:t>
            </w:r>
          </w:p>
        </w:tc>
      </w:tr>
      <w:tr>
        <w:trPr>
          <w:trHeight w:val="550" w:hRule="atLeast"/>
          <w:cantSplit w:val="true"/>
        </w:trPr>
        <w:tc>
          <w:tcPr>
            <w:tcW w:w="1915" w:type="dxa"/>
            <w:vMerge w:val="continue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rFonts w:eastAsia="MyriadPro-Regular"/>
                <w:sz w:val="20"/>
                <w:szCs w:val="20"/>
              </w:rPr>
            </w:pPr>
            <w:r>
              <w:rPr>
                <w:rFonts w:eastAsia="MyriadPro-Regular"/>
                <w:sz w:val="20"/>
                <w:szCs w:val="20"/>
              </w:rPr>
              <w:t>K01_prawidłowo identyfikuje i rozstrzyga problemy związane z wykonywaniem zawodu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K1_K01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40" w:type="dxa"/>
        <w:jc w:val="left"/>
        <w:tblInd w:w="-8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1606"/>
        <w:gridCol w:w="1230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94"/>
        <w:gridCol w:w="840"/>
        <w:gridCol w:w="284"/>
      </w:tblGrid>
      <w:tr>
        <w:trPr>
          <w:trHeight w:val="424" w:hRule="exact"/>
          <w:cantSplit w:val="true"/>
        </w:trPr>
        <w:tc>
          <w:tcPr>
            <w:tcW w:w="9639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"/>
              <w:widowControl w:val="false"/>
              <w:ind w:left="45" w:right="13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Organizacja</w:t>
            </w:r>
          </w:p>
        </w:tc>
      </w:tr>
      <w:tr>
        <w:trPr>
          <w:trHeight w:val="654" w:hRule="atLeast"/>
          <w:cantSplit w:val="true"/>
        </w:trPr>
        <w:tc>
          <w:tcPr>
            <w:tcW w:w="160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zajęć</w:t>
            </w:r>
          </w:p>
        </w:tc>
        <w:tc>
          <w:tcPr>
            <w:tcW w:w="123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Wykład</w:t>
            </w:r>
          </w:p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 w grupach</w:t>
            </w:r>
          </w:p>
        </w:tc>
      </w:tr>
      <w:tr>
        <w:trPr>
          <w:trHeight w:val="477" w:hRule="atLeast"/>
          <w:cantSplit w:val="true"/>
        </w:trPr>
        <w:tc>
          <w:tcPr>
            <w:tcW w:w="1606" w:type="dxa"/>
            <w:vMerge w:val="continue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vMerge w:val="continue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99" w:hRule="atLeast"/>
        </w:trPr>
        <w:tc>
          <w:tcPr>
            <w:tcW w:w="160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godzin</w:t>
            </w:r>
          </w:p>
        </w:tc>
        <w:tc>
          <w:tcPr>
            <w:tcW w:w="123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Zawartotabeli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Opis metod prowadzenia zajęć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134" w:type="dxa"/>
        <w:jc w:val="left"/>
        <w:tblInd w:w="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134"/>
      </w:tblGrid>
      <w:tr>
        <w:trPr>
          <w:trHeight w:val="837" w:hRule="atLeast"/>
        </w:trPr>
        <w:tc>
          <w:tcPr>
            <w:tcW w:w="913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podające - wykład</w:t>
            </w:r>
          </w:p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podające - prezentacje</w:t>
            </w:r>
          </w:p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problemowe - Metody aktywizujące - dyskusja dydaktyczna: element konwersatoryjny</w:t>
            </w:r>
          </w:p>
        </w:tc>
      </w:tr>
    </w:tbl>
    <w:p>
      <w:pPr>
        <w:pStyle w:val="Zawartotabeli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Zawartotabeli"/>
        <w:rPr>
          <w:sz w:val="20"/>
          <w:szCs w:val="20"/>
        </w:rPr>
      </w:pPr>
      <w:r>
        <w:rPr>
          <w:sz w:val="20"/>
          <w:szCs w:val="20"/>
        </w:rPr>
        <w:t>Formy sprawdzania efektów uczenia się</w:t>
      </w:r>
    </w:p>
    <w:p>
      <w:pPr>
        <w:pStyle w:val="Zawartotabeli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7"/>
        <w:gridCol w:w="628"/>
        <w:gridCol w:w="628"/>
        <w:gridCol w:w="628"/>
        <w:gridCol w:w="628"/>
        <w:gridCol w:w="628"/>
        <w:gridCol w:w="628"/>
        <w:gridCol w:w="629"/>
        <w:gridCol w:w="628"/>
        <w:gridCol w:w="543"/>
        <w:gridCol w:w="713"/>
        <w:gridCol w:w="628"/>
        <w:gridCol w:w="628"/>
        <w:gridCol w:w="627"/>
      </w:tblGrid>
      <w:tr>
        <w:trPr>
          <w:trHeight w:val="1616" w:hRule="atLeast"/>
          <w:cantSplit w:val="true"/>
        </w:trPr>
        <w:tc>
          <w:tcPr>
            <w:tcW w:w="8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 – </w:t>
            </w:r>
            <w:r>
              <w:rPr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Gry dydaktyczne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 w szkole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Zajęcia terenowe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laboratoryjna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 indywidualny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 grupowy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w dyskusji</w:t>
            </w:r>
          </w:p>
        </w:tc>
        <w:tc>
          <w:tcPr>
            <w:tcW w:w="5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Referat</w:t>
            </w:r>
          </w:p>
        </w:tc>
        <w:tc>
          <w:tcPr>
            <w:tcW w:w="7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 (esej)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 ustny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 pisemny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</w:tr>
      <w:tr>
        <w:trPr>
          <w:trHeight w:val="244" w:hRule="atLeast"/>
          <w:cantSplit w:val="true"/>
        </w:trPr>
        <w:tc>
          <w:tcPr>
            <w:tcW w:w="8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Tekstdymka1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W01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W w:w="7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8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W02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8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W03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4" w:hRule="atLeast"/>
          <w:cantSplit w:val="true"/>
        </w:trPr>
        <w:tc>
          <w:tcPr>
            <w:tcW w:w="8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U01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8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U02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4" w:hRule="atLeast"/>
          <w:cantSplit w:val="true"/>
        </w:trPr>
        <w:tc>
          <w:tcPr>
            <w:tcW w:w="8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K01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Zawartotabeli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40" w:type="dxa"/>
        <w:jc w:val="left"/>
        <w:tblInd w:w="-8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1940"/>
        <w:gridCol w:w="7699"/>
      </w:tblGrid>
      <w:tr>
        <w:trPr/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z oceną na podstawie pozytywnej oceny z końcowego pisemnego testu wyboru. Standardowa skala ocen.</w:t>
            </w:r>
          </w:p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Warunkiem uzyskania zaliczenia kursu jest także regularne i aktywne uczestnictwo w zajęciach (</w:t>
            </w: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pl-PL" w:eastAsia="pl-PL" w:bidi="ar-SA"/>
              </w:rPr>
              <w:t>konieczność zaliczenia konkretnego materiału w przypadku nieusprawiedliwionych nieobecności</w:t>
            </w:r>
            <w:r>
              <w:rPr>
                <w:sz w:val="20"/>
                <w:szCs w:val="20"/>
              </w:rPr>
              <w:t>).</w:t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40" w:type="dxa"/>
        <w:jc w:val="left"/>
        <w:tblInd w:w="-8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1940"/>
        <w:gridCol w:w="7699"/>
      </w:tblGrid>
      <w:tr>
        <w:trPr>
          <w:trHeight w:val="578" w:hRule="atLeast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Przedmiot może być realizowany w formie zdalnej</w:t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Treści merytoryczne (wykaz tematów)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134" w:type="dxa"/>
        <w:jc w:val="left"/>
        <w:tblInd w:w="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134"/>
      </w:tblGrid>
      <w:tr>
        <w:trPr>
          <w:trHeight w:val="1136" w:hRule="atLeast"/>
        </w:trPr>
        <w:tc>
          <w:tcPr>
            <w:tcW w:w="913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Tekstdymka1"/>
              <w:widowControl w:val="fals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tbl>
            <w:tblPr>
              <w:tblW w:w="9622" w:type="dxa"/>
              <w:jc w:val="left"/>
              <w:tblInd w:w="0" w:type="dxa"/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>
            <w:tblGrid>
              <w:gridCol w:w="9622"/>
            </w:tblGrid>
            <w:tr>
              <w:trPr>
                <w:trHeight w:val="2265" w:hRule="atLeast"/>
              </w:trPr>
              <w:tc>
                <w:tcPr>
                  <w:tcW w:w="9622" w:type="dxa"/>
                  <w:tcBorders>
                    <w:top w:val="single" w:sz="4" w:space="0" w:color="95B3D7"/>
                    <w:left w:val="single" w:sz="4" w:space="0" w:color="95B3D7"/>
                    <w:bottom w:val="single" w:sz="4" w:space="0" w:color="95B3D7"/>
                    <w:right w:val="single" w:sz="4" w:space="0" w:color="95B3D7"/>
                  </w:tcBorders>
                </w:tcPr>
                <w:p>
                  <w:pPr>
                    <w:pStyle w:val="Kolorowalistaakcent1"/>
                    <w:widowControl w:val="false"/>
                    <w:numPr>
                      <w:ilvl w:val="0"/>
                      <w:numId w:val="3"/>
                    </w:numPr>
                    <w:tabs>
                      <w:tab w:val="clear" w:pos="708"/>
                    </w:tabs>
                    <w:ind w:left="360" w:right="0" w:hanging="36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Podstawowe poj</w:t>
                  </w:r>
                  <w:r>
                    <w:rPr>
                      <w:sz w:val="24"/>
                      <w:szCs w:val="24"/>
                    </w:rPr>
                    <w:t>ęcia z zakresu literaturoznawstwa, w tym teorii dzieła literackiego.</w:t>
                  </w:r>
                </w:p>
                <w:p>
                  <w:pPr>
                    <w:pStyle w:val="Kolorowalistaakcent1"/>
                    <w:widowControl w:val="false"/>
                    <w:numPr>
                      <w:ilvl w:val="0"/>
                      <w:numId w:val="3"/>
                    </w:numPr>
                    <w:tabs>
                      <w:tab w:val="clear" w:pos="708"/>
                    </w:tabs>
                    <w:ind w:left="360" w:right="0" w:hanging="36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Genologia i omówienie budowy: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36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-utworu epickiego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36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-utworu dramatycznego i jego relacji (różnic i cech wspólnych) z teatrem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36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-utworu lirycznego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Cechy stylistyki literackiej.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Intertekstualność.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Korespondencja sztuk - komparatystyczne relacje literaturonzawstwa z z innymi dziedzinami sztuki: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 Literatura wobec toposu 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>theatrum mundi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Opozycja modernizmu i postmodernizmu w światopoglądzie i literaturoznawstwie.</w:t>
                  </w:r>
                </w:p>
                <w:p>
                  <w:pPr>
                    <w:pStyle w:val="Kolorowalistaakcent1"/>
                    <w:widowControl w:val="false"/>
                    <w:tabs>
                      <w:tab w:val="clear" w:pos="708"/>
                    </w:tabs>
                    <w:ind w:left="0" w:right="0" w:hanging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Historia poetyk i wybrane XX-wieczne metody badań literackich</w:t>
                  </w:r>
                </w:p>
              </w:tc>
            </w:tr>
          </w:tbl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Wykaz literatury podstawowej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134" w:type="dxa"/>
        <w:jc w:val="left"/>
        <w:tblInd w:w="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134"/>
      </w:tblGrid>
      <w:tr>
        <w:trPr>
          <w:trHeight w:val="1098" w:hRule="atLeast"/>
        </w:trPr>
        <w:tc>
          <w:tcPr>
            <w:tcW w:w="913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J. Sławiński (red.), </w:t>
            </w:r>
            <w:r>
              <w:rPr>
                <w:i/>
                <w:sz w:val="22"/>
              </w:rPr>
              <w:t>Słownik terminów literackich</w:t>
            </w:r>
            <w:r>
              <w:rPr>
                <w:sz w:val="22"/>
              </w:rPr>
              <w:t>, Wrocław 2000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-P. Potrykus-Woźniak, </w:t>
            </w:r>
            <w:r>
              <w:rPr>
                <w:i/>
                <w:sz w:val="22"/>
              </w:rPr>
              <w:t>Słownik nowych gatunków i zjawisk literackich</w:t>
            </w:r>
            <w:r>
              <w:rPr>
                <w:sz w:val="22"/>
              </w:rPr>
              <w:t>, Warszawa-Bielsko-Biała 2011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M. Głowiński, Okopień-Slawińska, J. Slawiński, </w:t>
            </w:r>
            <w:r>
              <w:rPr>
                <w:i/>
                <w:sz w:val="22"/>
              </w:rPr>
              <w:t>Zarys teorii literatury</w:t>
            </w:r>
            <w:r>
              <w:rPr>
                <w:sz w:val="22"/>
              </w:rPr>
              <w:t>, Warszawa 1991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>- A Kulawik.,</w:t>
            </w:r>
            <w:r>
              <w:rPr>
                <w:i/>
                <w:sz w:val="22"/>
              </w:rPr>
              <w:t xml:space="preserve"> Poetyka. Wstęp do teorii dzieła literackiego. </w:t>
            </w:r>
            <w:r>
              <w:rPr>
                <w:sz w:val="22"/>
              </w:rPr>
              <w:t>Kraków 1997.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E. Miodońska-Brookes, A. Kulawik, M. Tatara, </w:t>
            </w:r>
            <w:r>
              <w:rPr>
                <w:i/>
                <w:sz w:val="22"/>
              </w:rPr>
              <w:t>Zarys poetyki</w:t>
            </w:r>
            <w:r>
              <w:rPr>
                <w:sz w:val="22"/>
              </w:rPr>
              <w:t>, W-wa 1980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Z. Mitosek, </w:t>
            </w:r>
            <w:r>
              <w:rPr>
                <w:i/>
                <w:sz w:val="22"/>
              </w:rPr>
              <w:t xml:space="preserve">Teorie badań literackich, </w:t>
            </w:r>
            <w:r>
              <w:rPr>
                <w:sz w:val="22"/>
              </w:rPr>
              <w:t>Warszawa 1995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H. Markiewicz, </w:t>
            </w:r>
            <w:r>
              <w:rPr>
                <w:i/>
                <w:sz w:val="22"/>
              </w:rPr>
              <w:t>Wymiary dzieła literackiego</w:t>
            </w:r>
            <w:r>
              <w:rPr>
                <w:sz w:val="22"/>
              </w:rPr>
              <w:t>, Kraków-Wrocław 1984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i/>
                <w:sz w:val="22"/>
              </w:rPr>
              <w:t xml:space="preserve">- Problemy teorii literatury, </w:t>
            </w:r>
            <w:r>
              <w:rPr>
                <w:sz w:val="22"/>
              </w:rPr>
              <w:t>tomy od 1 do 5 pod red. H. Markiewicza i innych, Wrocław-Warszawa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A. Burzyńska, M.P. Markowski, </w:t>
            </w:r>
            <w:r>
              <w:rPr>
                <w:i/>
                <w:sz w:val="22"/>
              </w:rPr>
              <w:t>Teorie literatury XX wieku</w:t>
            </w:r>
            <w:r>
              <w:rPr>
                <w:sz w:val="22"/>
              </w:rPr>
              <w:t xml:space="preserve"> (Podręcznik/Antologia), Kraków 2006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/>
              <w:t xml:space="preserve">- St. Balbus, </w:t>
            </w:r>
            <w:r>
              <w:rPr>
                <w:i/>
              </w:rPr>
              <w:t>Między stylami</w:t>
            </w:r>
            <w:r>
              <w:rPr/>
              <w:t>, Kraków 1996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/>
              <w:t xml:space="preserve">- R. Nycz (red.), </w:t>
            </w:r>
            <w:r>
              <w:rPr>
                <w:i/>
              </w:rPr>
              <w:t>Postmodernizm. Antologia przekładów</w:t>
            </w:r>
            <w:r>
              <w:rPr/>
              <w:t>,</w:t>
            </w:r>
            <w:r>
              <w:rPr>
                <w:i/>
              </w:rPr>
              <w:t xml:space="preserve"> </w:t>
            </w:r>
            <w:r>
              <w:rPr/>
              <w:t>Kraków 1996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/>
              <w:t xml:space="preserve">- R. Nycz, </w:t>
            </w:r>
            <w:r>
              <w:rPr>
                <w:i/>
              </w:rPr>
              <w:t>Tekstowy świat. Poststrukturalizm a wiedza o literaturze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/>
              <w:t xml:space="preserve">- G. Dziamski (red.), </w:t>
            </w:r>
            <w:r>
              <w:rPr>
                <w:i/>
              </w:rPr>
              <w:t>Od awangardy do postmodernizmu</w:t>
            </w:r>
            <w:r>
              <w:rPr/>
              <w:t>, Warszawa 1996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M.R. Mayenowa, </w:t>
            </w:r>
            <w:r>
              <w:rPr>
                <w:i/>
                <w:sz w:val="22"/>
              </w:rPr>
              <w:t>Styl, stylizacja, stylistyka,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Poetyka teoretyczna, </w:t>
            </w:r>
            <w:r>
              <w:rPr>
                <w:sz w:val="22"/>
              </w:rPr>
              <w:t>Wrocław 1974.</w:t>
            </w:r>
          </w:p>
        </w:tc>
      </w:tr>
    </w:tbl>
    <w:p>
      <w:pPr>
        <w:pStyle w:val="Normal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Wykaz literatury uzupełniającej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134" w:type="dxa"/>
        <w:jc w:val="left"/>
        <w:tblInd w:w="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134"/>
      </w:tblGrid>
      <w:tr>
        <w:trPr>
          <w:trHeight w:val="1112" w:hRule="atLeast"/>
        </w:trPr>
        <w:tc>
          <w:tcPr>
            <w:tcW w:w="913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720" w:right="0" w:hanging="0"/>
              <w:rPr>
                <w:b/>
                <w:b/>
                <w:bCs/>
              </w:rPr>
            </w:pPr>
            <w:r>
              <w:rPr>
                <w:b/>
                <w:bCs/>
                <w:sz w:val="22"/>
              </w:rPr>
              <w:t>Publikacje – druki zwarte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R. Ingarden, </w:t>
            </w:r>
            <w:r>
              <w:rPr>
                <w:i/>
                <w:sz w:val="22"/>
              </w:rPr>
              <w:t>Z teorii dzieła literackiego</w:t>
            </w:r>
            <w:r>
              <w:rPr>
                <w:sz w:val="22"/>
              </w:rPr>
              <w:t xml:space="preserve">, w: </w:t>
            </w:r>
            <w:r>
              <w:rPr>
                <w:i/>
                <w:sz w:val="22"/>
              </w:rPr>
              <w:t>Problemy teorii literatury</w:t>
            </w:r>
            <w:r>
              <w:rPr>
                <w:sz w:val="22"/>
              </w:rPr>
              <w:t>, red. H. Markiewicz, Wrocław 1967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 w:before="0" w:after="0"/>
              <w:ind w:left="0" w:right="0" w:hanging="0"/>
              <w:contextualSpacing/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2"/>
                <w:szCs w:val="20"/>
                <w:shd w:fill="FFFFFF" w:val="clear"/>
                <w:lang w:val="fr-FR"/>
              </w:rPr>
              <w:t xml:space="preserve">- A. Hutnikiewicz, </w:t>
            </w:r>
            <w:r>
              <w:rPr>
                <w:i/>
                <w:sz w:val="22"/>
                <w:szCs w:val="20"/>
                <w:shd w:fill="FFFFFF" w:val="clear"/>
                <w:lang w:val="fr-FR"/>
              </w:rPr>
              <w:t>Od czystej formy do literatury faktu</w:t>
            </w:r>
            <w:r>
              <w:rPr>
                <w:sz w:val="22"/>
                <w:szCs w:val="20"/>
                <w:shd w:fill="FFFFFF" w:val="clear"/>
                <w:lang w:val="fr-FR"/>
              </w:rPr>
              <w:t>, Warszawa 1995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/>
              <w:t xml:space="preserve">- H. Broch, </w:t>
            </w:r>
            <w:r>
              <w:rPr>
                <w:i/>
              </w:rPr>
              <w:t>Kilka uwag o kiczu</w:t>
            </w:r>
            <w:r>
              <w:rPr/>
              <w:t>, Warszawa 1998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/>
              <w:t xml:space="preserve">- I. Calvino, </w:t>
            </w:r>
            <w:r>
              <w:rPr>
                <w:i/>
              </w:rPr>
              <w:t xml:space="preserve">Wykłady amerykańskie. </w:t>
            </w:r>
            <w:r>
              <w:rPr/>
              <w:t>, Warszawa 2009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/>
              <w:t xml:space="preserve">- J. Cortázar, </w:t>
            </w:r>
            <w:r>
              <w:rPr>
                <w:i/>
              </w:rPr>
              <w:t>O literaturze. Wykłady w Berkeley</w:t>
            </w:r>
            <w:r>
              <w:rPr/>
              <w:t>, Gdańsk 2016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2"/>
                <w:szCs w:val="20"/>
                <w:lang w:val="fr-FR"/>
              </w:rPr>
              <w:t xml:space="preserve">-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02122"/>
                <w:spacing w:val="0"/>
                <w:sz w:val="22"/>
                <w:szCs w:val="22"/>
                <w:lang w:val="fr-FR"/>
              </w:rPr>
              <w:t>J. L. Borges w: </w:t>
            </w:r>
            <w:r>
              <w:rPr>
                <w:rFonts w:ascii="Times New Roman" w:hAnsi="Times New Roman"/>
                <w:b w:val="false"/>
                <w:i/>
                <w:color w:val="202122"/>
                <w:spacing w:val="0"/>
                <w:sz w:val="22"/>
                <w:szCs w:val="22"/>
                <w:lang w:val="fr-FR"/>
              </w:rPr>
              <w:t>Sztuka powieści. Wywiady z pisarzami z "The Paris Review",</w:t>
            </w:r>
            <w:r>
              <w:rPr>
                <w:rFonts w:ascii="Times New Roman" w:hAnsi="Times New Roman"/>
                <w:caps w:val="false"/>
                <w:smallCaps w:val="false"/>
                <w:color w:val="202122"/>
                <w:spacing w:val="0"/>
                <w:sz w:val="22"/>
                <w:szCs w:val="22"/>
                <w:lang w:val="fr-FR"/>
              </w:rPr>
              <w:t> 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02122"/>
                <w:spacing w:val="0"/>
                <w:sz w:val="22"/>
                <w:szCs w:val="22"/>
                <w:lang w:val="fr-FR"/>
              </w:rPr>
              <w:t>wybór tekstów: K Cieślik, G. Krzymianowski, Wrocław 2016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/>
              <w:ind w:left="0" w:right="0" w:hanging="0"/>
              <w:jc w:val="both"/>
              <w:rPr>
                <w:sz w:val="20"/>
                <w:szCs w:val="20"/>
                <w:lang w:val="fr-FR"/>
              </w:rPr>
            </w:pPr>
            <w:r>
              <w:rPr/>
              <w:t xml:space="preserve">- U. Eco, </w:t>
            </w:r>
            <w:r>
              <w:rPr>
                <w:i/>
              </w:rPr>
              <w:t>O literaturze</w:t>
            </w:r>
            <w:r>
              <w:rPr/>
              <w:t>, Warszawa 2003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 w:before="0" w:after="0"/>
              <w:ind w:left="0" w:right="0" w:hanging="0"/>
              <w:contextualSpacing/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2"/>
                <w:szCs w:val="20"/>
                <w:shd w:fill="FFFFFF" w:val="clear"/>
                <w:lang w:val="fr-FR"/>
              </w:rPr>
              <w:t xml:space="preserve">- U. Eco, </w:t>
            </w:r>
            <w:r>
              <w:rPr>
                <w:i/>
                <w:sz w:val="22"/>
                <w:szCs w:val="20"/>
                <w:shd w:fill="FFFFFF" w:val="clear"/>
                <w:lang w:val="fr-FR"/>
              </w:rPr>
              <w:t>Sześć przechadzek po świecie fikcji</w:t>
            </w:r>
            <w:r>
              <w:rPr>
                <w:sz w:val="22"/>
                <w:szCs w:val="20"/>
                <w:shd w:fill="FFFFFF" w:val="clear"/>
                <w:lang w:val="fr-FR"/>
              </w:rPr>
              <w:t>, Kraków 2007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M. Głowiński, </w:t>
            </w:r>
            <w:r>
              <w:rPr>
                <w:i/>
                <w:sz w:val="22"/>
              </w:rPr>
              <w:t>Świadectwa i style odbioru,</w:t>
            </w:r>
            <w:r>
              <w:rPr>
                <w:sz w:val="22"/>
              </w:rPr>
              <w:t xml:space="preserve"> w tegoż, </w:t>
            </w:r>
            <w:r>
              <w:rPr>
                <w:i/>
                <w:sz w:val="22"/>
              </w:rPr>
              <w:t>Style odbioru,</w:t>
            </w:r>
            <w:r>
              <w:rPr>
                <w:sz w:val="22"/>
              </w:rPr>
              <w:t xml:space="preserve"> Kraków 1977.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right="0" w:hanging="0"/>
              <w:contextualSpacing/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2"/>
                <w:szCs w:val="20"/>
                <w:shd w:fill="FFFFFF" w:val="clear"/>
                <w:lang w:val="fr-FR"/>
              </w:rPr>
              <w:t>1</w:t>
            </w:r>
            <w:r>
              <w:rPr>
                <w:sz w:val="22"/>
                <w:szCs w:val="20"/>
                <w:shd w:fill="FFFFFF" w:val="clear"/>
                <w:lang w:val="fr-FR"/>
              </w:rPr>
              <w:t>0</w:t>
            </w:r>
            <w:r>
              <w:rPr>
                <w:sz w:val="22"/>
                <w:szCs w:val="20"/>
                <w:shd w:fill="FFFFFF" w:val="clear"/>
                <w:lang w:val="fr-FR"/>
              </w:rPr>
              <w:t>.</w:t>
              <w:tab/>
              <w:t xml:space="preserve"> - M. Bachtin</w:t>
            </w:r>
            <w:r>
              <w:rPr>
                <w:i/>
                <w:sz w:val="22"/>
                <w:szCs w:val="20"/>
                <w:shd w:fill="FFFFFF" w:val="clear"/>
                <w:lang w:val="fr-FR"/>
              </w:rPr>
              <w:t xml:space="preserve">, Problemy literatury i estetyki, </w:t>
            </w:r>
            <w:r>
              <w:rPr>
                <w:sz w:val="22"/>
                <w:szCs w:val="20"/>
                <w:shd w:fill="FFFFFF" w:val="clear"/>
                <w:lang w:val="fr-FR"/>
              </w:rPr>
              <w:t>Warszawa 1982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</w:rPr>
              <w:t>1</w:t>
            </w:r>
            <w:r>
              <w:rPr>
                <w:sz w:val="22"/>
              </w:rPr>
              <w:t xml:space="preserve">. </w:t>
              <w:tab/>
              <w:t xml:space="preserve">- J. Tomkowski, </w:t>
            </w:r>
            <w:r>
              <w:rPr>
                <w:i/>
                <w:sz w:val="22"/>
              </w:rPr>
              <w:t>Literatura powszechna</w:t>
            </w:r>
            <w:r>
              <w:rPr>
                <w:sz w:val="22"/>
              </w:rPr>
              <w:t>, Warszawa 1995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>12</w:t>
            </w:r>
            <w:r>
              <w:rPr>
                <w:sz w:val="22"/>
              </w:rPr>
              <w:t xml:space="preserve">. - </w:t>
              <w:tab/>
              <w:t xml:space="preserve">W. Floryan (red.), </w:t>
            </w:r>
            <w:r>
              <w:rPr>
                <w:i/>
                <w:sz w:val="22"/>
              </w:rPr>
              <w:t>Dzieje literatur europejskich</w:t>
            </w:r>
            <w:r>
              <w:rPr>
                <w:sz w:val="22"/>
              </w:rPr>
              <w:t xml:space="preserve"> (3 tomy), Warszawa 1977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right="0" w:hanging="0"/>
              <w:contextualSpacing/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2"/>
                <w:szCs w:val="20"/>
                <w:shd w:fill="FFFFFF" w:val="clear"/>
                <w:lang w:val="fr-FR"/>
              </w:rPr>
              <w:t>1</w:t>
            </w:r>
            <w:r>
              <w:rPr>
                <w:sz w:val="22"/>
                <w:szCs w:val="20"/>
                <w:shd w:fill="FFFFFF" w:val="clear"/>
                <w:lang w:val="fr-FR"/>
              </w:rPr>
              <w:t>3</w:t>
            </w:r>
            <w:r>
              <w:rPr>
                <w:sz w:val="22"/>
                <w:szCs w:val="20"/>
                <w:shd w:fill="FFFFFF" w:val="clear"/>
                <w:lang w:val="fr-FR"/>
              </w:rPr>
              <w:t xml:space="preserve">. </w:t>
              <w:tab/>
              <w:t xml:space="preserve">- A. Benoit-Dusausoy, G. Fontaine, </w:t>
            </w:r>
            <w:r>
              <w:rPr>
                <w:i/>
                <w:sz w:val="22"/>
                <w:szCs w:val="20"/>
                <w:shd w:fill="FFFFFF" w:val="clear"/>
                <w:lang w:val="fr-FR"/>
              </w:rPr>
              <w:t>Literatura Europy. Historia literatury europejskiej</w:t>
            </w:r>
            <w:r>
              <w:rPr>
                <w:sz w:val="22"/>
                <w:szCs w:val="20"/>
                <w:shd w:fill="FFFFFF" w:val="clear"/>
                <w:lang w:val="fr-FR"/>
              </w:rPr>
              <w:t>, Gdańsk 2009</w:t>
            </w:r>
          </w:p>
          <w:p>
            <w:pPr>
              <w:pStyle w:val="Normal"/>
              <w:widowControl w:val="false"/>
              <w:spacing w:lineRule="auto" w:line="360" w:before="0" w:after="0"/>
              <w:ind w:left="0" w:right="0" w:hanging="0"/>
              <w:contextualSpacing/>
              <w:jc w:val="both"/>
              <w:rPr>
                <w:sz w:val="20"/>
                <w:szCs w:val="20"/>
                <w:lang w:val="fr-FR"/>
              </w:rPr>
            </w:pPr>
            <w:r>
              <w:rPr>
                <w:b/>
                <w:sz w:val="22"/>
                <w:szCs w:val="20"/>
                <w:shd w:fill="FFFFFF" w:val="clear"/>
                <w:lang w:val="fr-FR"/>
              </w:rPr>
              <w:t>Wybrane artyku</w:t>
            </w:r>
            <w:r>
              <w:rPr>
                <w:b/>
                <w:sz w:val="22"/>
                <w:szCs w:val="20"/>
                <w:lang w:val="fr-FR"/>
              </w:rPr>
              <w:t>ły</w:t>
            </w:r>
          </w:p>
          <w:p>
            <w:pPr>
              <w:pStyle w:val="Normal"/>
              <w:widowControl w:val="false"/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T. Todorow, </w:t>
            </w:r>
            <w:r>
              <w:rPr>
                <w:i/>
                <w:sz w:val="22"/>
              </w:rPr>
              <w:t>O pochodzeniu gatunków,</w:t>
            </w:r>
            <w:r>
              <w:rPr>
                <w:sz w:val="22"/>
              </w:rPr>
              <w:t xml:space="preserve"> „Pamiętnik Literacki” 1979, z 3</w:t>
            </w:r>
          </w:p>
          <w:p>
            <w:pPr>
              <w:pStyle w:val="Normal"/>
              <w:widowControl w:val="false"/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M. Głowiński, </w:t>
            </w:r>
            <w:r>
              <w:rPr>
                <w:i/>
                <w:sz w:val="22"/>
              </w:rPr>
              <w:t>O intertekstualnośći,</w:t>
            </w:r>
            <w:r>
              <w:rPr>
                <w:sz w:val="22"/>
              </w:rPr>
              <w:t xml:space="preserve"> „Pamiętnik Literacki” 1986, z. 4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072" w:leader="none"/>
              </w:tabs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J. Culler, </w:t>
            </w:r>
            <w:r>
              <w:rPr>
                <w:i/>
                <w:sz w:val="22"/>
              </w:rPr>
              <w:t>Dekonstrukcja i jej konsekwencje dla nauki o literaturze</w:t>
            </w:r>
            <w:r>
              <w:rPr>
                <w:sz w:val="22"/>
              </w:rPr>
              <w:t>, "Pamiętnik Literacki" 1986, z. 4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072" w:leader="none"/>
              </w:tabs>
              <w:spacing w:lineRule="auto" w:line="360"/>
              <w:ind w:left="0" w:right="0" w:hanging="0"/>
              <w:rPr>
                <w:sz w:val="20"/>
                <w:szCs w:val="20"/>
                <w:lang w:val="fr-FR"/>
              </w:rPr>
            </w:pPr>
            <w:r>
              <w:rPr>
                <w:sz w:val="22"/>
              </w:rPr>
              <w:t xml:space="preserve">- R. Gasche, </w:t>
            </w:r>
            <w:r>
              <w:rPr>
                <w:i/>
                <w:sz w:val="22"/>
              </w:rPr>
              <w:t>Dekonstrukcja i krytyka literacka</w:t>
            </w:r>
            <w:r>
              <w:rPr>
                <w:sz w:val="22"/>
              </w:rPr>
              <w:t>, "Kultura współczesna" 1993, nr 2</w:t>
            </w:r>
          </w:p>
        </w:tc>
      </w:tr>
      <w:tr>
        <w:trPr>
          <w:trHeight w:val="1112" w:hRule="atLeast"/>
        </w:trPr>
        <w:tc>
          <w:tcPr>
            <w:tcW w:w="9134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720" w:right="0" w:hanging="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Tekstdymka1"/>
        <w:rPr>
          <w:rFonts w:ascii="Times New Roman" w:hAnsi="Times New Roman" w:cs="Times New Roman"/>
          <w:sz w:val="20"/>
          <w:szCs w:val="20"/>
          <w:lang w:val="fr-FR"/>
        </w:rPr>
      </w:pPr>
      <w:r>
        <w:rPr>
          <w:rFonts w:cs="Times New Roman" w:ascii="Times New Roman" w:hAnsi="Times New Roman"/>
          <w:sz w:val="20"/>
          <w:szCs w:val="20"/>
          <w:lang w:val="fr-FR"/>
        </w:rPr>
      </w:r>
    </w:p>
    <w:p>
      <w:pPr>
        <w:pStyle w:val="Tekstdymka1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Bilans godzinowy zgodny z CNPS (Całkowity Nakład Pracy Studenta)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27"/>
        <w:gridCol w:w="5398"/>
        <w:gridCol w:w="1037"/>
      </w:tblGrid>
      <w:tr>
        <w:trPr>
          <w:trHeight w:val="334" w:hRule="atLeast"/>
          <w:cantSplit w:val="true"/>
        </w:trPr>
        <w:tc>
          <w:tcPr>
            <w:tcW w:w="262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332" w:hRule="atLeast"/>
          <w:cantSplit w:val="true"/>
        </w:trPr>
        <w:tc>
          <w:tcPr>
            <w:tcW w:w="2627" w:type="dxa"/>
            <w:vMerge w:val="continue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>
        <w:trPr>
          <w:trHeight w:val="670" w:hRule="atLeast"/>
          <w:cantSplit w:val="true"/>
        </w:trPr>
        <w:tc>
          <w:tcPr>
            <w:tcW w:w="2627" w:type="dxa"/>
            <w:vMerge w:val="continue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>
        <w:trPr>
          <w:trHeight w:val="348" w:hRule="atLeast"/>
          <w:cantSplit w:val="true"/>
        </w:trPr>
        <w:tc>
          <w:tcPr>
            <w:tcW w:w="262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bookmarkStart w:id="1" w:name="_GoBack"/>
            <w:bookmarkEnd w:id="1"/>
          </w:p>
        </w:tc>
      </w:tr>
      <w:tr>
        <w:trPr>
          <w:trHeight w:val="710" w:hRule="atLeast"/>
          <w:cantSplit w:val="true"/>
        </w:trPr>
        <w:tc>
          <w:tcPr>
            <w:tcW w:w="2627" w:type="dxa"/>
            <w:vMerge w:val="continue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>
        <w:trPr>
          <w:trHeight w:val="731" w:hRule="atLeast"/>
          <w:cantSplit w:val="true"/>
        </w:trPr>
        <w:tc>
          <w:tcPr>
            <w:tcW w:w="2627" w:type="dxa"/>
            <w:vMerge w:val="continue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>
        <w:trPr>
          <w:trHeight w:val="365" w:hRule="atLeast"/>
          <w:cantSplit w:val="true"/>
        </w:trPr>
        <w:tc>
          <w:tcPr>
            <w:tcW w:w="2627" w:type="dxa"/>
            <w:vMerge w:val="continue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</w:p>
        </w:tc>
      </w:tr>
      <w:tr>
        <w:trPr>
          <w:trHeight w:val="365" w:hRule="atLeast"/>
        </w:trPr>
        <w:tc>
          <w:tcPr>
            <w:tcW w:w="802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2" w:hRule="atLeast"/>
        </w:trPr>
        <w:tc>
          <w:tcPr>
            <w:tcW w:w="802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 w:val="false"/>
              <w:ind w:left="360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ahoma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47a6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ytuZnak" w:customStyle="1">
    <w:name w:val="Tytuł Znak"/>
    <w:basedOn w:val="DefaultParagraphFont"/>
    <w:link w:val="Tytu"/>
    <w:uiPriority w:val="10"/>
    <w:qFormat/>
    <w:rsid w:val="00a47a68"/>
    <w:rPr>
      <w:rFonts w:ascii="Times New Roman" w:hAnsi="Times New Roman" w:eastAsia="Times New Roman" w:cs="Times New Roman"/>
      <w:b/>
      <w:bCs/>
      <w:kern w:val="2"/>
      <w:sz w:val="24"/>
      <w:szCs w:val="32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Times New Roman" w:hAnsi="Times New Roman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  <w:lang w:val="zxx" w:eastAsia="zxx" w:bidi="zxx"/>
    </w:rPr>
  </w:style>
  <w:style w:type="paragraph" w:styleId="Zawartotabeli" w:customStyle="1">
    <w:name w:val="Zawartość tabeli"/>
    <w:basedOn w:val="Normal"/>
    <w:qFormat/>
    <w:rsid w:val="00a47a68"/>
    <w:pPr>
      <w:suppressLineNumbers/>
    </w:pPr>
    <w:rPr/>
  </w:style>
  <w:style w:type="paragraph" w:styleId="Tekstdymka1" w:customStyle="1">
    <w:name w:val="Tekst dymka1"/>
    <w:basedOn w:val="Normal"/>
    <w:qFormat/>
    <w:rsid w:val="00a47a68"/>
    <w:pPr/>
    <w:rPr>
      <w:rFonts w:ascii="Tahoma" w:hAnsi="Tahoma" w:cs="Tahoma"/>
      <w:sz w:val="16"/>
      <w:szCs w:val="16"/>
    </w:rPr>
  </w:style>
  <w:style w:type="paragraph" w:styleId="Tytu">
    <w:name w:val="Title"/>
    <w:basedOn w:val="Normal"/>
    <w:next w:val="Normal"/>
    <w:link w:val="TytuZnak"/>
    <w:uiPriority w:val="10"/>
    <w:qFormat/>
    <w:rsid w:val="00a47a68"/>
    <w:pPr>
      <w:outlineLvl w:val="0"/>
    </w:pPr>
    <w:rPr>
      <w:b/>
      <w:bCs/>
      <w:kern w:val="2"/>
      <w:szCs w:val="32"/>
    </w:rPr>
  </w:style>
  <w:style w:type="paragraph" w:styleId="ListParagraph">
    <w:name w:val="List Paragraph"/>
    <w:basedOn w:val="Normal"/>
    <w:uiPriority w:val="34"/>
    <w:qFormat/>
    <w:rsid w:val="00a47a68"/>
    <w:pPr>
      <w:widowControl/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val="es-ES" w:eastAsia="en-US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MS Mincho" w:cs="Tahoma"/>
      <w:color w:val="auto"/>
      <w:kern w:val="0"/>
      <w:sz w:val="20"/>
      <w:szCs w:val="24"/>
      <w:lang w:val="pl-PL" w:eastAsia="pl-PL" w:bidi="ar-SA"/>
    </w:rPr>
  </w:style>
  <w:style w:type="paragraph" w:styleId="BalloonText">
    <w:name w:val="Balloon Text"/>
    <w:basedOn w:val="Normal"/>
    <w:qFormat/>
    <w:pPr/>
    <w:rPr>
      <w:rFonts w:ascii="Tahoma" w:hAnsi="Tahoma"/>
      <w:sz w:val="16"/>
    </w:rPr>
  </w:style>
  <w:style w:type="paragraph" w:styleId="Kolorowalistaakcent1">
    <w:name w:val="Kolorowa lista — akcent 1"/>
    <w:basedOn w:val="Normal"/>
    <w:qFormat/>
    <w:pPr>
      <w:widowControl/>
      <w:ind w:left="720" w:hanging="0"/>
    </w:pPr>
    <w:rPr>
      <w:rFonts w:ascii="Cambria" w:hAnsi="Cambria" w:eastAsia="MS Mincho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LibreOffice/7.2.0.4$Windows_X86_64 LibreOffice_project/9a9c6381e3f7a62afc1329bd359cc48accb6435b</Application>
  <AppVersion>15.0000</AppVersion>
  <Pages>4</Pages>
  <Words>1068</Words>
  <Characters>6413</Characters>
  <CharactersWithSpaces>7467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2018-06-12T14:11:00Z</dcterms:created>
  <dc:creator>Katarzyna Gabrysiak</dc:creator>
  <dc:description/>
  <dc:language>pl-PL</dc:language>
  <cp:lastModifiedBy/>
  <dcterms:modified xsi:type="dcterms:W3CDTF">2023-05-04T16:13:36Z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